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C6F3F" w14:textId="4FEA2CAF" w:rsidR="002D2B14" w:rsidRDefault="002D2B14" w:rsidP="002D2B14">
      <w:r>
        <w:t>Møde med Fiskeriminister Karl Tobiassen, med følger af Jørgen Isak Olsen, Emanuel Rosing, Jens Paulsen, Thomas Rassing. Fra GE, Søren Brandt fra BUFEGE, og Christian Keldsen og Bent Sørensen fra sekretariatet.</w:t>
      </w:r>
    </w:p>
    <w:p w14:paraId="65C11734" w14:textId="0875B35E" w:rsidR="002D2B14" w:rsidRDefault="002D2B14" w:rsidP="002D2B14">
      <w:pPr>
        <w:rPr>
          <w:rFonts w:eastAsia="Times New Roman"/>
        </w:rPr>
      </w:pPr>
      <w:r>
        <w:rPr>
          <w:rFonts w:eastAsia="Times New Roman"/>
        </w:rPr>
        <w:t>Torsdag den. 16. marts 2023 – 13:00 – 14:15.</w:t>
      </w:r>
    </w:p>
    <w:p w14:paraId="266EE010" w14:textId="77777777" w:rsidR="002D2B14" w:rsidRDefault="002D2B14" w:rsidP="002D2B14"/>
    <w:p w14:paraId="60E9C76B" w14:textId="204217BC" w:rsidR="002D2B14" w:rsidRDefault="002D2B14" w:rsidP="002D2B14">
      <w:r>
        <w:t>Karl Tobiassen indleder med velkomst, hvor han orientere om at han er i gang med møderække for at få holdninger fra organisationerne (han skal også mødtes med Partierne) til Fiskerikommissionens arbejde.</w:t>
      </w:r>
    </w:p>
    <w:p w14:paraId="22955407" w14:textId="4AFC9F94" w:rsidR="002D2B14" w:rsidRDefault="002D2B14" w:rsidP="002D2B14"/>
    <w:p w14:paraId="5882C030" w14:textId="53F080EB" w:rsidR="00A212EC" w:rsidRDefault="00A212EC" w:rsidP="002D2B14">
      <w:r>
        <w:t>Karl Tobiassen orientere</w:t>
      </w:r>
      <w:r w:rsidR="00C30B4E">
        <w:t>r</w:t>
      </w:r>
      <w:r>
        <w:t xml:space="preserve">, at det er planen at Fiskeriloven skal behandles allerede i år, og pga. lovens omfang og betydning skal den i høring i 8 uger. De vil bede </w:t>
      </w:r>
      <w:proofErr w:type="spellStart"/>
      <w:r>
        <w:t>Inatsisartut</w:t>
      </w:r>
      <w:proofErr w:type="spellEnd"/>
      <w:r>
        <w:t xml:space="preserve"> om dispensation fra afleveringsfrister. Så man mindst kan have førstebehandling til EM23 og evt. 2. og 3 behandling FM</w:t>
      </w:r>
      <w:r w:rsidR="00C30B4E">
        <w:t xml:space="preserve">24. </w:t>
      </w:r>
    </w:p>
    <w:p w14:paraId="348390C6" w14:textId="77777777" w:rsidR="00A212EC" w:rsidRDefault="00A212EC" w:rsidP="002D2B14"/>
    <w:p w14:paraId="1D4EC2D2" w14:textId="44AC574B" w:rsidR="002D2B14" w:rsidRDefault="002D2B14" w:rsidP="002D2B14">
      <w:r>
        <w:t>Punktform:</w:t>
      </w:r>
    </w:p>
    <w:p w14:paraId="52022E33" w14:textId="0AE83459" w:rsidR="002D2B14" w:rsidRPr="002D2B14" w:rsidRDefault="002D2B14" w:rsidP="002D2B14">
      <w:pPr>
        <w:pStyle w:val="Listeafsnit"/>
        <w:numPr>
          <w:ilvl w:val="0"/>
          <w:numId w:val="4"/>
        </w:numPr>
        <w:rPr>
          <w:rFonts w:eastAsia="Times New Roman"/>
        </w:rPr>
      </w:pPr>
      <w:r>
        <w:rPr>
          <w:rFonts w:eastAsia="Times New Roman"/>
        </w:rPr>
        <w:t>GE indlede</w:t>
      </w:r>
      <w:r w:rsidR="00A212EC">
        <w:rPr>
          <w:rFonts w:eastAsia="Times New Roman"/>
        </w:rPr>
        <w:t>r</w:t>
      </w:r>
      <w:r>
        <w:rPr>
          <w:rFonts w:eastAsia="Times New Roman"/>
        </w:rPr>
        <w:t xml:space="preserve"> med at gøre opmærksom på </w:t>
      </w:r>
      <w:r w:rsidRPr="002D2B14">
        <w:rPr>
          <w:rFonts w:eastAsia="Times New Roman"/>
        </w:rPr>
        <w:t>mindretalsudtalelse til FK-betænkning side 277.</w:t>
      </w:r>
    </w:p>
    <w:p w14:paraId="510BE7DE" w14:textId="34B8512D" w:rsidR="002D2B14" w:rsidRDefault="002D2B14" w:rsidP="002D2B14">
      <w:pPr>
        <w:pStyle w:val="Listeafsnit"/>
        <w:numPr>
          <w:ilvl w:val="0"/>
          <w:numId w:val="3"/>
        </w:numPr>
        <w:ind w:left="720"/>
        <w:rPr>
          <w:rFonts w:eastAsia="Times New Roman"/>
        </w:rPr>
      </w:pPr>
      <w:r>
        <w:rPr>
          <w:rFonts w:eastAsia="Times New Roman"/>
        </w:rPr>
        <w:t>IOK skal udbygges til alle fiskerier, på nær Havgående fiskeri efter torsk.</w:t>
      </w:r>
    </w:p>
    <w:p w14:paraId="52A279E8" w14:textId="77777777" w:rsidR="00A212EC" w:rsidRDefault="002D2B14" w:rsidP="00A212EC">
      <w:pPr>
        <w:pStyle w:val="Listeafsnit"/>
        <w:numPr>
          <w:ilvl w:val="0"/>
          <w:numId w:val="3"/>
        </w:numPr>
        <w:ind w:left="720"/>
        <w:rPr>
          <w:rFonts w:eastAsia="Times New Roman"/>
        </w:rPr>
      </w:pPr>
      <w:r>
        <w:rPr>
          <w:rFonts w:eastAsia="Times New Roman"/>
        </w:rPr>
        <w:t>Kvoteloft – hvis der skal være en kvote område, i stedet for 57/43, så skal GE fastholde 25% som kvoteloft.</w:t>
      </w:r>
    </w:p>
    <w:p w14:paraId="10CAE218" w14:textId="1E0EF60E" w:rsidR="00A212EC" w:rsidRPr="00A212EC" w:rsidRDefault="00A212EC" w:rsidP="00A212EC">
      <w:pPr>
        <w:pStyle w:val="Listeafsnit"/>
        <w:numPr>
          <w:ilvl w:val="0"/>
          <w:numId w:val="3"/>
        </w:numPr>
        <w:ind w:left="720"/>
        <w:rPr>
          <w:rFonts w:eastAsia="Times New Roman"/>
        </w:rPr>
      </w:pPr>
      <w:r w:rsidRPr="00A212EC">
        <w:rPr>
          <w:rFonts w:eastAsia="Times New Roman"/>
        </w:rPr>
        <w:t>Fleksibilitet i Kvote Flex skal bevares. Der var årsager, som ikke har ændret sig.</w:t>
      </w:r>
      <w:r>
        <w:rPr>
          <w:rFonts w:eastAsia="Times New Roman"/>
        </w:rPr>
        <w:t xml:space="preserve"> Is forhold, bestandens natur, værftsophold mv vil altid komme.</w:t>
      </w:r>
    </w:p>
    <w:p w14:paraId="18EFC9CF" w14:textId="3715DB3B" w:rsidR="002D2B14" w:rsidRDefault="002D2B14" w:rsidP="002D2B14">
      <w:pPr>
        <w:pStyle w:val="Listeafsnit"/>
        <w:numPr>
          <w:ilvl w:val="0"/>
          <w:numId w:val="3"/>
        </w:numPr>
        <w:ind w:left="720"/>
        <w:rPr>
          <w:rFonts w:eastAsia="Times New Roman"/>
        </w:rPr>
      </w:pPr>
      <w:r>
        <w:rPr>
          <w:rFonts w:eastAsia="Times New Roman"/>
        </w:rPr>
        <w:t>Forvaltningsplaner for alle vigtige fiskerier, som allerede er igangsat imødeses.</w:t>
      </w:r>
    </w:p>
    <w:p w14:paraId="421DC205" w14:textId="6F69C5D8" w:rsidR="002D2B14" w:rsidRDefault="002D2B14" w:rsidP="002D2B14">
      <w:pPr>
        <w:pStyle w:val="Listeafsnit"/>
        <w:numPr>
          <w:ilvl w:val="0"/>
          <w:numId w:val="3"/>
        </w:numPr>
        <w:ind w:left="720"/>
        <w:rPr>
          <w:rFonts w:eastAsia="Times New Roman"/>
        </w:rPr>
      </w:pPr>
      <w:r>
        <w:rPr>
          <w:rFonts w:eastAsia="Times New Roman"/>
        </w:rPr>
        <w:t xml:space="preserve">Bæredygtigt fiskeri skal sikre fremtiden og markedspositionen. GE var jo først til at igangsætte MSC arbejde, her er markedet meget vigtige at den spiller med. </w:t>
      </w:r>
    </w:p>
    <w:p w14:paraId="153E305E" w14:textId="6CC1C9BA" w:rsidR="002D2B14" w:rsidRDefault="002D2B14" w:rsidP="002D2B14">
      <w:pPr>
        <w:pStyle w:val="Listeafsnit"/>
        <w:numPr>
          <w:ilvl w:val="0"/>
          <w:numId w:val="3"/>
        </w:numPr>
        <w:ind w:left="720"/>
        <w:rPr>
          <w:rFonts w:eastAsia="Times New Roman"/>
        </w:rPr>
      </w:pPr>
      <w:r w:rsidRPr="002D2B14">
        <w:rPr>
          <w:rFonts w:eastAsia="Times New Roman"/>
        </w:rPr>
        <w:t>Effektivfiskeri, med indførelse af IOK i rejefiskeriet allerede i 1991 og senere i 1996 skabt rammer der er stabile og sikret at man nu kan opkræve ressourcerenten. Fiskeriet og samfundet har behov for stabile indtægter fra fiskeriet. (</w:t>
      </w:r>
      <w:r w:rsidR="00A212EC" w:rsidRPr="002D2B14">
        <w:rPr>
          <w:rFonts w:eastAsia="Times New Roman"/>
        </w:rPr>
        <w:t>F.eks.</w:t>
      </w:r>
      <w:r w:rsidRPr="002D2B14">
        <w:rPr>
          <w:rFonts w:eastAsia="Times New Roman"/>
        </w:rPr>
        <w:t>: Flere æ</w:t>
      </w:r>
      <w:r w:rsidR="00A212EC">
        <w:rPr>
          <w:rFonts w:eastAsia="Times New Roman"/>
        </w:rPr>
        <w:t>l</w:t>
      </w:r>
      <w:r w:rsidRPr="002D2B14">
        <w:rPr>
          <w:rFonts w:eastAsia="Times New Roman"/>
        </w:rPr>
        <w:t>dre ml. 67- 74 år, forventet stigning fra 2.000 i 2010 til 3.700 i 2030)</w:t>
      </w:r>
      <w:r w:rsidR="00A212EC">
        <w:rPr>
          <w:rFonts w:eastAsia="Times New Roman"/>
        </w:rPr>
        <w:t>. Effektivt fiskeri skal bevare</w:t>
      </w:r>
      <w:r w:rsidR="00394838">
        <w:rPr>
          <w:rFonts w:eastAsia="Times New Roman"/>
        </w:rPr>
        <w:t>s</w:t>
      </w:r>
      <w:r w:rsidR="00A212EC">
        <w:rPr>
          <w:rFonts w:eastAsia="Times New Roman"/>
        </w:rPr>
        <w:t>.</w:t>
      </w:r>
    </w:p>
    <w:p w14:paraId="664CD56E" w14:textId="444A9ED6" w:rsidR="002D2B14" w:rsidRPr="002D2B14" w:rsidRDefault="002D2B14" w:rsidP="002D2B14">
      <w:pPr>
        <w:pStyle w:val="Listeafsnit"/>
        <w:numPr>
          <w:ilvl w:val="0"/>
          <w:numId w:val="3"/>
        </w:numPr>
        <w:ind w:left="720"/>
        <w:rPr>
          <w:rFonts w:eastAsia="Times New Roman"/>
        </w:rPr>
      </w:pPr>
      <w:r>
        <w:rPr>
          <w:rFonts w:eastAsia="Times New Roman"/>
        </w:rPr>
        <w:t xml:space="preserve">Uddannelse, vigtigt, besætningsmedlemmernes gennemsnitlige alder er meget højt, vi står i </w:t>
      </w:r>
      <w:r w:rsidR="00C30B4E">
        <w:rPr>
          <w:rFonts w:eastAsia="Times New Roman"/>
        </w:rPr>
        <w:t>alvorlig situation</w:t>
      </w:r>
      <w:r>
        <w:rPr>
          <w:rFonts w:eastAsia="Times New Roman"/>
        </w:rPr>
        <w:t xml:space="preserve">. Der er ikke unge nok der går ind i fiskeriet. Flere ældre og gyldne generation og færre børn der fødes siger, at rekrutteringsudfordringerne vil blive større. </w:t>
      </w:r>
    </w:p>
    <w:p w14:paraId="2C3DFDBA" w14:textId="614BD3B6" w:rsidR="002D2B14" w:rsidRPr="00A212EC" w:rsidRDefault="002D2B14" w:rsidP="00A212EC">
      <w:pPr>
        <w:pStyle w:val="Listeafsnit"/>
        <w:numPr>
          <w:ilvl w:val="0"/>
          <w:numId w:val="3"/>
        </w:numPr>
        <w:ind w:left="720"/>
        <w:rPr>
          <w:rFonts w:eastAsia="Times New Roman"/>
        </w:rPr>
      </w:pPr>
      <w:r>
        <w:rPr>
          <w:rFonts w:eastAsia="Times New Roman"/>
        </w:rPr>
        <w:t>Rejefiskeriet er 100% grønlandsk, og det vil der være også i fremtiden. Spørgsmål om andre fiskerier, er</w:t>
      </w:r>
      <w:r w:rsidR="00CD6AEC">
        <w:rPr>
          <w:rFonts w:eastAsia="Times New Roman"/>
        </w:rPr>
        <w:t xml:space="preserve"> der </w:t>
      </w:r>
      <w:r>
        <w:rPr>
          <w:rFonts w:eastAsia="Times New Roman"/>
        </w:rPr>
        <w:t>forskellige holdninger</w:t>
      </w:r>
      <w:r w:rsidR="00394838">
        <w:rPr>
          <w:rFonts w:eastAsia="Times New Roman"/>
        </w:rPr>
        <w:t xml:space="preserve"> til</w:t>
      </w:r>
      <w:r>
        <w:rPr>
          <w:rFonts w:eastAsia="Times New Roman"/>
        </w:rPr>
        <w:t>.</w:t>
      </w:r>
      <w:r w:rsidR="00CD6AEC">
        <w:rPr>
          <w:rFonts w:eastAsia="Times New Roman"/>
        </w:rPr>
        <w:t xml:space="preserve"> </w:t>
      </w:r>
    </w:p>
    <w:p w14:paraId="613B83A5" w14:textId="376DA1FC" w:rsidR="002D2B14" w:rsidRDefault="002D2B14" w:rsidP="002D2B14">
      <w:pPr>
        <w:pStyle w:val="Listeafsnit"/>
        <w:numPr>
          <w:ilvl w:val="0"/>
          <w:numId w:val="3"/>
        </w:numPr>
        <w:ind w:left="720"/>
        <w:rPr>
          <w:rFonts w:eastAsia="Times New Roman"/>
        </w:rPr>
      </w:pPr>
      <w:r>
        <w:rPr>
          <w:rFonts w:eastAsia="Times New Roman"/>
        </w:rPr>
        <w:t>Investeringer fra pensionskasse som Sisa er ikke så store som man tror, for det første har pensionskasserne en portefølje der er fordelt ml. forskellige brancher og investeringer, derfor vil en investering i Fiskeri været meget begrænset i havgående fiskeri.</w:t>
      </w:r>
    </w:p>
    <w:p w14:paraId="03EC2362" w14:textId="38C3EA59" w:rsidR="00A212EC" w:rsidRDefault="00A212EC" w:rsidP="002D2B14">
      <w:pPr>
        <w:pStyle w:val="Listeafsnit"/>
        <w:numPr>
          <w:ilvl w:val="0"/>
          <w:numId w:val="3"/>
        </w:numPr>
        <w:ind w:left="720"/>
        <w:rPr>
          <w:rFonts w:eastAsia="Times New Roman"/>
        </w:rPr>
      </w:pPr>
      <w:r>
        <w:rPr>
          <w:rFonts w:eastAsia="Times New Roman"/>
        </w:rPr>
        <w:t xml:space="preserve">Direkte og indirekte ejerskab i rejefiskeriet: Det er klart at to selskaber vil blive berørt mest. Man er villig til at snakke om eventuelle kvoter hvis disse ikke skal tilfalde nye rederier, skal kunne løses ml nuværende rederier. </w:t>
      </w:r>
    </w:p>
    <w:p w14:paraId="4F023757" w14:textId="74F68CFF" w:rsidR="00A212EC" w:rsidRDefault="00A212EC" w:rsidP="002D2B14">
      <w:pPr>
        <w:pStyle w:val="Listeafsnit"/>
        <w:numPr>
          <w:ilvl w:val="0"/>
          <w:numId w:val="3"/>
        </w:numPr>
        <w:ind w:left="720"/>
        <w:rPr>
          <w:rFonts w:eastAsia="Times New Roman"/>
        </w:rPr>
      </w:pPr>
      <w:r>
        <w:rPr>
          <w:rFonts w:eastAsia="Times New Roman"/>
        </w:rPr>
        <w:t>Spørgsmål fra Ministeren: Skal RG behandles særskilt, som et selskab der kan etablere bygdeanlæg mv, f.eks. med kvoter mv? Svar: Nej. Det blev allerede diskuteret i baggrundgruppen i GE at de ikke skal have særbehandling.</w:t>
      </w:r>
    </w:p>
    <w:p w14:paraId="484E5556" w14:textId="77777777" w:rsidR="00A61734" w:rsidRDefault="0044764F" w:rsidP="00A61734">
      <w:pPr>
        <w:pStyle w:val="Listeafsnit"/>
        <w:numPr>
          <w:ilvl w:val="0"/>
          <w:numId w:val="3"/>
        </w:numPr>
        <w:ind w:left="720"/>
        <w:rPr>
          <w:rFonts w:eastAsia="Times New Roman"/>
        </w:rPr>
      </w:pPr>
      <w:r>
        <w:rPr>
          <w:rFonts w:eastAsia="Times New Roman"/>
        </w:rPr>
        <w:t>Generationsskifte i rejefiskeriet. Det kan være udfordringer i generationsskifte ejerne er op i alderen. Kvoterne er arvelige. Fiskeriloven har passus om at kvoter (IOK) er arvelige. Noget der kræver at snakke sammen ml. ejerne og Departementet.</w:t>
      </w:r>
    </w:p>
    <w:p w14:paraId="6ECF9DEC" w14:textId="6E67F2A8" w:rsidR="00A61734" w:rsidRPr="007F73A8" w:rsidRDefault="00A61734" w:rsidP="00A61734">
      <w:pPr>
        <w:pStyle w:val="Listeafsnit"/>
        <w:numPr>
          <w:ilvl w:val="0"/>
          <w:numId w:val="3"/>
        </w:numPr>
        <w:ind w:left="720"/>
        <w:rPr>
          <w:rFonts w:eastAsia="Times New Roman"/>
        </w:rPr>
      </w:pPr>
      <w:r>
        <w:t>Vi nævner, at vi har et system, der fungerer og at GE derfor ikke ser grund til at ændre væsentligt heri. I 2022 gik der 480 mio. DKK ind til landskassen i afgifter, som er en vækst i forhold til for blot få år siden, bl.a. muliggjort af at den nuværende struktur er så velfungerende. Det i sig selv er et argument for ikke at udfordre strukturen og dermed velfærdssamfundet</w:t>
      </w:r>
      <w:r w:rsidR="007F73A8">
        <w:t>.</w:t>
      </w:r>
    </w:p>
    <w:p w14:paraId="472E55F2" w14:textId="3F4F91B3" w:rsidR="00A61734" w:rsidRPr="007F73A8" w:rsidRDefault="007F73A8" w:rsidP="00B23F73">
      <w:pPr>
        <w:pStyle w:val="Listeafsnit"/>
        <w:numPr>
          <w:ilvl w:val="0"/>
          <w:numId w:val="3"/>
        </w:numPr>
        <w:ind w:left="720"/>
        <w:rPr>
          <w:rFonts w:eastAsia="Times New Roman"/>
        </w:rPr>
      </w:pPr>
      <w:r>
        <w:t>Indhandlingspligten: Markedet er meget afgørende indhandling af rejer til industrien, idet man i perioder kan komme noget over 25%.</w:t>
      </w:r>
    </w:p>
    <w:p w14:paraId="442D7730" w14:textId="77777777" w:rsidR="00115452" w:rsidRDefault="00115452" w:rsidP="00A61734">
      <w:pPr>
        <w:rPr>
          <w:rFonts w:eastAsia="Times New Roman"/>
        </w:rPr>
      </w:pPr>
    </w:p>
    <w:p w14:paraId="2999D90A" w14:textId="02C46A44" w:rsidR="00A61734" w:rsidRPr="00A61734" w:rsidRDefault="00A61734" w:rsidP="00A61734">
      <w:pPr>
        <w:rPr>
          <w:rFonts w:eastAsia="Times New Roman"/>
        </w:rPr>
      </w:pPr>
      <w:r>
        <w:rPr>
          <w:rFonts w:eastAsia="Times New Roman"/>
        </w:rPr>
        <w:t>Der blev noteret fra DFFL, og de vil vende tilbage med hvad de har noteret.</w:t>
      </w:r>
    </w:p>
    <w:p w14:paraId="5CB6F17F" w14:textId="7BD7F70E" w:rsidR="00C96D0C" w:rsidRDefault="00C96D0C"/>
    <w:p w14:paraId="272DDF3B" w14:textId="25D999C0" w:rsidR="00A212EC" w:rsidRDefault="00A212EC"/>
    <w:p w14:paraId="27EC20E2" w14:textId="28B6588B" w:rsidR="00A212EC" w:rsidRDefault="00A212EC"/>
    <w:p w14:paraId="766F892F" w14:textId="2FEED539" w:rsidR="00A212EC" w:rsidRDefault="00A212EC"/>
    <w:p w14:paraId="7876BD00" w14:textId="7E3DAC45" w:rsidR="00A212EC" w:rsidRDefault="00A212EC"/>
    <w:p w14:paraId="1F06DC43" w14:textId="653CC04B" w:rsidR="00A212EC" w:rsidRDefault="00A212EC"/>
    <w:p w14:paraId="66A9E1CC" w14:textId="1E48462C" w:rsidR="00A212EC" w:rsidRDefault="00A212EC"/>
    <w:p w14:paraId="005D897E" w14:textId="1F7063D8" w:rsidR="00A212EC" w:rsidRDefault="00A212EC"/>
    <w:p w14:paraId="35B30A5F" w14:textId="7AA95E61" w:rsidR="00A212EC" w:rsidRDefault="00A212EC">
      <w:r w:rsidRPr="00F8143F">
        <w:rPr>
          <w:noProof/>
        </w:rPr>
        <w:drawing>
          <wp:inline distT="0" distB="0" distL="0" distR="0" wp14:anchorId="4E96B429" wp14:editId="068A6BBB">
            <wp:extent cx="5819775" cy="6915150"/>
            <wp:effectExtent l="0" t="0" r="9525" b="0"/>
            <wp:docPr id="1" name="Billede 1" descr="Et billede, der indeholder tekst&#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lede 1" descr="Et billede, der indeholder tekst&#10;&#10;Automatisk genereret beskrivelse"/>
                    <pic:cNvPicPr/>
                  </pic:nvPicPr>
                  <pic:blipFill>
                    <a:blip r:embed="rId5"/>
                    <a:stretch>
                      <a:fillRect/>
                    </a:stretch>
                  </pic:blipFill>
                  <pic:spPr>
                    <a:xfrm>
                      <a:off x="0" y="0"/>
                      <a:ext cx="5819775" cy="6915150"/>
                    </a:xfrm>
                    <a:prstGeom prst="rect">
                      <a:avLst/>
                    </a:prstGeom>
                  </pic:spPr>
                </pic:pic>
              </a:graphicData>
            </a:graphic>
          </wp:inline>
        </w:drawing>
      </w:r>
    </w:p>
    <w:p w14:paraId="44F0FFF9" w14:textId="6C98D72F" w:rsidR="00A212EC" w:rsidRDefault="00A212EC"/>
    <w:p w14:paraId="3E841D36" w14:textId="67107630" w:rsidR="00A212EC" w:rsidRDefault="00A212EC">
      <w:r w:rsidRPr="00F8143F">
        <w:rPr>
          <w:noProof/>
        </w:rPr>
        <w:lastRenderedPageBreak/>
        <w:drawing>
          <wp:inline distT="0" distB="0" distL="0" distR="0" wp14:anchorId="7D92FD94" wp14:editId="0B17176C">
            <wp:extent cx="5762625" cy="6172200"/>
            <wp:effectExtent l="0" t="0" r="9525" b="0"/>
            <wp:docPr id="2" name="Billede 2" descr="Et billede, der indeholder tekst, brev&#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lede 2" descr="Et billede, der indeholder tekst, brev&#10;&#10;Automatisk genereret beskrivelse"/>
                    <pic:cNvPicPr/>
                  </pic:nvPicPr>
                  <pic:blipFill>
                    <a:blip r:embed="rId6"/>
                    <a:stretch>
                      <a:fillRect/>
                    </a:stretch>
                  </pic:blipFill>
                  <pic:spPr>
                    <a:xfrm>
                      <a:off x="0" y="0"/>
                      <a:ext cx="5762625" cy="6172200"/>
                    </a:xfrm>
                    <a:prstGeom prst="rect">
                      <a:avLst/>
                    </a:prstGeom>
                  </pic:spPr>
                </pic:pic>
              </a:graphicData>
            </a:graphic>
          </wp:inline>
        </w:drawing>
      </w:r>
    </w:p>
    <w:p w14:paraId="4E8FB897" w14:textId="77777777" w:rsidR="00A212EC" w:rsidRDefault="00A212EC"/>
    <w:sectPr w:rsidR="00A212EC" w:rsidSect="007F73A8">
      <w:pgSz w:w="11906" w:h="16838"/>
      <w:pgMar w:top="1418" w:right="1134" w:bottom="156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2F013A"/>
    <w:multiLevelType w:val="hybridMultilevel"/>
    <w:tmpl w:val="378C739A"/>
    <w:lvl w:ilvl="0" w:tplc="04060001">
      <w:start w:val="1"/>
      <w:numFmt w:val="bullet"/>
      <w:lvlText w:val=""/>
      <w:lvlJc w:val="left"/>
      <w:pPr>
        <w:ind w:left="1440" w:hanging="360"/>
      </w:pPr>
      <w:rPr>
        <w:rFonts w:ascii="Symbol" w:hAnsi="Symbol" w:hint="default"/>
      </w:rPr>
    </w:lvl>
    <w:lvl w:ilvl="1" w:tplc="04060003">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1" w15:restartNumberingAfterBreak="0">
    <w:nsid w:val="39552720"/>
    <w:multiLevelType w:val="hybridMultilevel"/>
    <w:tmpl w:val="DD6AB168"/>
    <w:lvl w:ilvl="0" w:tplc="0406000F">
      <w:start w:val="1"/>
      <w:numFmt w:val="decimal"/>
      <w:lvlText w:val="%1."/>
      <w:lvlJc w:val="left"/>
      <w:pPr>
        <w:ind w:left="720" w:hanging="360"/>
      </w:p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start w:val="1"/>
      <w:numFmt w:val="decimal"/>
      <w:lvlText w:val="%4."/>
      <w:lvlJc w:val="left"/>
      <w:pPr>
        <w:ind w:left="2880" w:hanging="360"/>
      </w:pPr>
    </w:lvl>
    <w:lvl w:ilvl="4" w:tplc="04060019">
      <w:start w:val="1"/>
      <w:numFmt w:val="lowerLetter"/>
      <w:lvlText w:val="%5."/>
      <w:lvlJc w:val="left"/>
      <w:pPr>
        <w:ind w:left="3600" w:hanging="360"/>
      </w:pPr>
    </w:lvl>
    <w:lvl w:ilvl="5" w:tplc="0406001B">
      <w:start w:val="1"/>
      <w:numFmt w:val="lowerRoman"/>
      <w:lvlText w:val="%6."/>
      <w:lvlJc w:val="right"/>
      <w:pPr>
        <w:ind w:left="4320" w:hanging="180"/>
      </w:pPr>
    </w:lvl>
    <w:lvl w:ilvl="6" w:tplc="0406000F">
      <w:start w:val="1"/>
      <w:numFmt w:val="decimal"/>
      <w:lvlText w:val="%7."/>
      <w:lvlJc w:val="left"/>
      <w:pPr>
        <w:ind w:left="5040" w:hanging="360"/>
      </w:pPr>
    </w:lvl>
    <w:lvl w:ilvl="7" w:tplc="04060019">
      <w:start w:val="1"/>
      <w:numFmt w:val="lowerLetter"/>
      <w:lvlText w:val="%8."/>
      <w:lvlJc w:val="left"/>
      <w:pPr>
        <w:ind w:left="5760" w:hanging="360"/>
      </w:pPr>
    </w:lvl>
    <w:lvl w:ilvl="8" w:tplc="0406001B">
      <w:start w:val="1"/>
      <w:numFmt w:val="lowerRoman"/>
      <w:lvlText w:val="%9."/>
      <w:lvlJc w:val="right"/>
      <w:pPr>
        <w:ind w:left="6480" w:hanging="180"/>
      </w:pPr>
    </w:lvl>
  </w:abstractNum>
  <w:abstractNum w:abstractNumId="2" w15:restartNumberingAfterBreak="0">
    <w:nsid w:val="53E13517"/>
    <w:multiLevelType w:val="hybridMultilevel"/>
    <w:tmpl w:val="1C42998C"/>
    <w:lvl w:ilvl="0" w:tplc="C0E25338">
      <w:start w:val="3"/>
      <w:numFmt w:val="bullet"/>
      <w:lvlText w:val="-"/>
      <w:lvlJc w:val="left"/>
      <w:pPr>
        <w:ind w:left="720" w:hanging="360"/>
      </w:pPr>
      <w:rPr>
        <w:rFonts w:ascii="Calibri" w:eastAsia="Calibri" w:hAnsi="Calibri" w:cs="Calibri"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3" w15:restartNumberingAfterBreak="0">
    <w:nsid w:val="57FF11DC"/>
    <w:multiLevelType w:val="hybridMultilevel"/>
    <w:tmpl w:val="D458DE8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648244584">
    <w:abstractNumId w:val="1"/>
  </w:num>
  <w:num w:numId="2" w16cid:durableId="44260007">
    <w:abstractNumId w:val="2"/>
  </w:num>
  <w:num w:numId="3" w16cid:durableId="281615450">
    <w:abstractNumId w:val="0"/>
  </w:num>
  <w:num w:numId="4" w16cid:durableId="7262271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B14"/>
    <w:rsid w:val="00115452"/>
    <w:rsid w:val="002D2B14"/>
    <w:rsid w:val="00394838"/>
    <w:rsid w:val="0044764F"/>
    <w:rsid w:val="007F73A8"/>
    <w:rsid w:val="00A212EC"/>
    <w:rsid w:val="00A61734"/>
    <w:rsid w:val="00C30B4E"/>
    <w:rsid w:val="00C96D0C"/>
    <w:rsid w:val="00CD6AEC"/>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E3740"/>
  <w15:chartTrackingRefBased/>
  <w15:docId w15:val="{4ED3FA61-40DC-4290-B88C-D5B06E2E6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2B14"/>
    <w:pPr>
      <w:spacing w:after="0" w:line="240" w:lineRule="auto"/>
    </w:pPr>
    <w:rPr>
      <w:rFonts w:ascii="Calibri" w:hAnsi="Calibri" w:cs="Calibri"/>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Hyperlink">
    <w:name w:val="Hyperlink"/>
    <w:basedOn w:val="Standardskrifttypeiafsnit"/>
    <w:uiPriority w:val="99"/>
    <w:semiHidden/>
    <w:unhideWhenUsed/>
    <w:rsid w:val="002D2B14"/>
    <w:rPr>
      <w:color w:val="0563C1"/>
      <w:u w:val="single"/>
    </w:rPr>
  </w:style>
  <w:style w:type="paragraph" w:styleId="Listeafsnit">
    <w:name w:val="List Paragraph"/>
    <w:basedOn w:val="Normal"/>
    <w:uiPriority w:val="34"/>
    <w:qFormat/>
    <w:rsid w:val="002D2B14"/>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081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3</Pages>
  <Words>529</Words>
  <Characters>3228</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Bent Sørensen | Grønlands Erhverv</dc:creator>
  <cp:keywords/>
  <dc:description/>
  <cp:lastModifiedBy>Bent Sørensen | Grønlands Erhverv</cp:lastModifiedBy>
  <cp:revision>6</cp:revision>
  <dcterms:created xsi:type="dcterms:W3CDTF">2023-03-16T17:40:00Z</dcterms:created>
  <dcterms:modified xsi:type="dcterms:W3CDTF">2023-03-22T15:19:00Z</dcterms:modified>
</cp:coreProperties>
</file>